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B9" w:rsidRDefault="00197DB9" w:rsidP="00197DB9">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bookmarkStart w:id="0" w:name="_GoBack"/>
      <w:r w:rsidRPr="00197DB9">
        <w:rPr>
          <w:rFonts w:ascii="Times New Roman" w:eastAsia="Times New Roman" w:hAnsi="Times New Roman" w:cs="Times New Roman"/>
          <w:b/>
          <w:bCs/>
          <w:color w:val="000000"/>
          <w:sz w:val="28"/>
          <w:szCs w:val="28"/>
          <w:shd w:val="clear" w:color="auto" w:fill="FFFFFF"/>
          <w:lang w:eastAsia="ru-RU"/>
        </w:rPr>
        <w:t>Методическая разработк</w:t>
      </w:r>
      <w:r>
        <w:rPr>
          <w:rFonts w:ascii="Times New Roman" w:eastAsia="Times New Roman" w:hAnsi="Times New Roman" w:cs="Times New Roman"/>
          <w:b/>
          <w:bCs/>
          <w:color w:val="000000"/>
          <w:sz w:val="28"/>
          <w:szCs w:val="28"/>
          <w:shd w:val="clear" w:color="auto" w:fill="FFFFFF"/>
          <w:lang w:eastAsia="ru-RU"/>
        </w:rPr>
        <w:t>а</w:t>
      </w:r>
    </w:p>
    <w:p w:rsidR="00197DB9" w:rsidRDefault="00197DB9" w:rsidP="00197DB9">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заседания профсоюзного кружка</w:t>
      </w:r>
      <w:bookmarkEnd w:id="0"/>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color w:val="000000"/>
          <w:sz w:val="28"/>
          <w:szCs w:val="28"/>
          <w:shd w:val="clear" w:color="auto" w:fill="FFFFFF"/>
          <w:lang w:eastAsia="ru-RU"/>
        </w:rPr>
        <w:t>Тема занятия:</w:t>
      </w:r>
    </w:p>
    <w:p w:rsidR="00197DB9" w:rsidRDefault="00197DB9" w:rsidP="00197DB9">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97DB9">
        <w:rPr>
          <w:rFonts w:ascii="Times New Roman" w:eastAsia="Times New Roman" w:hAnsi="Times New Roman" w:cs="Times New Roman"/>
          <w:b/>
          <w:bCs/>
          <w:color w:val="000000"/>
          <w:sz w:val="28"/>
          <w:szCs w:val="28"/>
          <w:shd w:val="clear" w:color="auto" w:fill="FFFFFF"/>
          <w:lang w:eastAsia="ru-RU"/>
        </w:rPr>
        <w:t xml:space="preserve"> «Поэтом можешь и не</w:t>
      </w:r>
      <w:r w:rsidRPr="00197DB9">
        <w:rPr>
          <w:rFonts w:ascii="Times New Roman" w:eastAsia="Times New Roman" w:hAnsi="Times New Roman" w:cs="Times New Roman"/>
          <w:color w:val="000000"/>
          <w:sz w:val="28"/>
          <w:szCs w:val="28"/>
          <w:shd w:val="clear" w:color="auto" w:fill="FFFFFF"/>
          <w:lang w:eastAsia="ru-RU"/>
        </w:rPr>
        <w:t> </w:t>
      </w:r>
      <w:r w:rsidRPr="00197DB9">
        <w:rPr>
          <w:rFonts w:ascii="Times New Roman" w:eastAsia="Times New Roman" w:hAnsi="Times New Roman" w:cs="Times New Roman"/>
          <w:b/>
          <w:bCs/>
          <w:color w:val="000000"/>
          <w:sz w:val="28"/>
          <w:szCs w:val="28"/>
          <w:shd w:val="clear" w:color="auto" w:fill="FFFFFF"/>
          <w:lang w:eastAsia="ru-RU"/>
        </w:rPr>
        <w:t>быть, а Кодекс трудовой ты</w:t>
      </w:r>
      <w:r w:rsidRPr="00197DB9">
        <w:rPr>
          <w:rFonts w:ascii="Times New Roman" w:eastAsia="Times New Roman" w:hAnsi="Times New Roman" w:cs="Times New Roman"/>
          <w:color w:val="000000"/>
          <w:sz w:val="28"/>
          <w:szCs w:val="28"/>
          <w:shd w:val="clear" w:color="auto" w:fill="FFFFFF"/>
          <w:lang w:eastAsia="ru-RU"/>
        </w:rPr>
        <w:t> </w:t>
      </w:r>
      <w:r w:rsidRPr="00197DB9">
        <w:rPr>
          <w:rFonts w:ascii="Times New Roman" w:eastAsia="Times New Roman" w:hAnsi="Times New Roman" w:cs="Times New Roman"/>
          <w:b/>
          <w:bCs/>
          <w:color w:val="000000"/>
          <w:sz w:val="28"/>
          <w:szCs w:val="28"/>
          <w:shd w:val="clear" w:color="auto" w:fill="FFFFFF"/>
          <w:lang w:eastAsia="ru-RU"/>
        </w:rPr>
        <w:t>знать обязан»</w:t>
      </w:r>
    </w:p>
    <w:p w:rsidR="006B311B" w:rsidRDefault="00197DB9" w:rsidP="00197DB9">
      <w:pPr>
        <w:spacing w:after="0" w:line="240" w:lineRule="auto"/>
        <w:rPr>
          <w:rFonts w:ascii="Times New Roman" w:eastAsia="Times New Roman" w:hAnsi="Times New Roman" w:cs="Times New Roman"/>
          <w:b/>
          <w:bCs/>
          <w:color w:val="000000"/>
          <w:sz w:val="28"/>
          <w:szCs w:val="28"/>
          <w:shd w:val="clear" w:color="auto" w:fill="FFFFFF"/>
          <w:lang w:eastAsia="ru-RU"/>
        </w:rPr>
      </w:pP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shd w:val="clear" w:color="auto" w:fill="FFFFFF"/>
          <w:lang w:eastAsia="ru-RU"/>
        </w:rPr>
        <w:t>Цель: </w:t>
      </w:r>
      <w:r w:rsidRPr="00197DB9">
        <w:rPr>
          <w:rFonts w:ascii="Times New Roman" w:eastAsia="Times New Roman" w:hAnsi="Times New Roman" w:cs="Times New Roman"/>
          <w:color w:val="000000"/>
          <w:sz w:val="28"/>
          <w:szCs w:val="28"/>
          <w:shd w:val="clear" w:color="auto" w:fill="FFFFFF"/>
          <w:lang w:eastAsia="ru-RU"/>
        </w:rPr>
        <w:t>Теоретическое и практическое изучение статей Трудового кодекса РФ, связанных </w:t>
      </w:r>
      <w:r w:rsidRPr="00682613">
        <w:rPr>
          <w:rFonts w:ascii="Times New Roman" w:eastAsia="Times New Roman" w:hAnsi="Times New Roman" w:cs="Times New Roman"/>
          <w:bCs/>
          <w:color w:val="000000"/>
          <w:sz w:val="28"/>
          <w:szCs w:val="28"/>
          <w:shd w:val="clear" w:color="auto" w:fill="FFFFFF"/>
          <w:lang w:eastAsia="ru-RU"/>
        </w:rPr>
        <w:t>с</w:t>
      </w:r>
      <w:r w:rsidRPr="00197DB9">
        <w:rPr>
          <w:rFonts w:ascii="Times New Roman" w:eastAsia="Times New Roman" w:hAnsi="Times New Roman" w:cs="Times New Roman"/>
          <w:b/>
          <w:b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защитой интересов работников школы, охраной труда.</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shd w:val="clear" w:color="auto" w:fill="FFFFFF"/>
          <w:lang w:eastAsia="ru-RU"/>
        </w:rPr>
        <w:t>Оборудование: </w:t>
      </w:r>
      <w:r w:rsidRPr="00197DB9">
        <w:rPr>
          <w:rFonts w:ascii="Times New Roman" w:eastAsia="Times New Roman" w:hAnsi="Times New Roman" w:cs="Times New Roman"/>
          <w:color w:val="000000"/>
          <w:sz w:val="28"/>
          <w:szCs w:val="28"/>
          <w:shd w:val="clear" w:color="auto" w:fill="FFFFFF"/>
          <w:lang w:eastAsia="ru-RU"/>
        </w:rPr>
        <w:t xml:space="preserve"> плакат с чайнвордом по Трудовому кодексу РФ.</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color w:val="000000"/>
          <w:sz w:val="28"/>
          <w:szCs w:val="28"/>
          <w:shd w:val="clear" w:color="auto" w:fill="FFFFFF"/>
          <w:lang w:eastAsia="ru-RU"/>
        </w:rPr>
        <w:t>План занятия:</w:t>
      </w:r>
      <w:r>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w:t>
      </w:r>
      <w:r w:rsidRPr="00197DB9">
        <w:rPr>
          <w:rFonts w:ascii="Times New Roman" w:eastAsia="Times New Roman" w:hAnsi="Times New Roman" w:cs="Times New Roman"/>
          <w:color w:val="000000"/>
          <w:sz w:val="28"/>
          <w:szCs w:val="28"/>
          <w:shd w:val="clear" w:color="auto" w:fill="FFFFFF"/>
          <w:lang w:eastAsia="ru-RU"/>
        </w:rPr>
        <w:t>. Профсоюзный консультационный пункт «Спрашивали - отвечаем». </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006B311B">
        <w:rPr>
          <w:rFonts w:ascii="Times New Roman" w:eastAsia="Times New Roman" w:hAnsi="Times New Roman" w:cs="Times New Roman"/>
          <w:color w:val="000000"/>
          <w:sz w:val="28"/>
          <w:szCs w:val="28"/>
          <w:shd w:val="clear" w:color="auto" w:fill="FFFFFF"/>
          <w:lang w:eastAsia="ru-RU"/>
        </w:rPr>
        <w:t>2</w:t>
      </w:r>
      <w:r w:rsidRPr="00197DB9">
        <w:rPr>
          <w:rFonts w:ascii="Times New Roman" w:eastAsia="Times New Roman" w:hAnsi="Times New Roman" w:cs="Times New Roman"/>
          <w:color w:val="000000"/>
          <w:sz w:val="28"/>
          <w:szCs w:val="28"/>
          <w:shd w:val="clear" w:color="auto" w:fill="FFFFFF"/>
          <w:lang w:eastAsia="ru-RU"/>
        </w:rPr>
        <w:t>.</w:t>
      </w:r>
      <w:r w:rsidR="006B311B">
        <w:rPr>
          <w:rFonts w:ascii="Times New Roman" w:eastAsia="Times New Roman" w:hAnsi="Times New Roman" w:cs="Times New Roman"/>
          <w:color w:val="000000"/>
          <w:sz w:val="28"/>
          <w:szCs w:val="28"/>
          <w:shd w:val="clear" w:color="auto" w:fill="FFFFFF"/>
          <w:lang w:eastAsia="ru-RU"/>
        </w:rPr>
        <w:t>. Чайнворд «Профсоюзный»</w:t>
      </w:r>
      <w:r w:rsidRPr="00197DB9">
        <w:rPr>
          <w:rFonts w:ascii="Times New Roman" w:eastAsia="Times New Roman" w:hAnsi="Times New Roman" w:cs="Times New Roman"/>
          <w:color w:val="000000"/>
          <w:sz w:val="28"/>
          <w:szCs w:val="28"/>
          <w:lang w:eastAsia="ru-RU"/>
        </w:rPr>
        <w:br/>
      </w:r>
    </w:p>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b/>
          <w:bCs/>
          <w:color w:val="000000"/>
          <w:sz w:val="28"/>
          <w:szCs w:val="28"/>
          <w:shd w:val="clear" w:color="auto" w:fill="FFFFFF"/>
          <w:lang w:eastAsia="ru-RU"/>
        </w:rPr>
        <w:t>Ход</w:t>
      </w:r>
      <w:r w:rsidRPr="00197DB9">
        <w:rPr>
          <w:rFonts w:ascii="Times New Roman" w:eastAsia="Times New Roman" w:hAnsi="Times New Roman" w:cs="Times New Roman"/>
          <w:color w:val="000000"/>
          <w:sz w:val="28"/>
          <w:szCs w:val="28"/>
          <w:shd w:val="clear" w:color="auto" w:fill="FFFFFF"/>
          <w:lang w:eastAsia="ru-RU"/>
        </w:rPr>
        <w:t> </w:t>
      </w:r>
      <w:r w:rsidRPr="00197DB9">
        <w:rPr>
          <w:rFonts w:ascii="Times New Roman" w:eastAsia="Times New Roman" w:hAnsi="Times New Roman" w:cs="Times New Roman"/>
          <w:b/>
          <w:bCs/>
          <w:color w:val="000000"/>
          <w:sz w:val="28"/>
          <w:szCs w:val="28"/>
          <w:shd w:val="clear" w:color="auto" w:fill="FFFFFF"/>
          <w:lang w:eastAsia="ru-RU"/>
        </w:rPr>
        <w:t>занятия</w:t>
      </w:r>
      <w:r w:rsidR="006B311B">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color w:val="000000"/>
          <w:sz w:val="28"/>
          <w:szCs w:val="28"/>
          <w:shd w:val="clear" w:color="auto" w:fill="FFFFFF"/>
          <w:lang w:eastAsia="ru-RU"/>
        </w:rPr>
        <w:t>Выступление </w:t>
      </w:r>
      <w:r>
        <w:rPr>
          <w:rFonts w:ascii="Times New Roman" w:eastAsia="Times New Roman" w:hAnsi="Times New Roman" w:cs="Times New Roman"/>
          <w:b/>
          <w:bCs/>
          <w:color w:val="000000"/>
          <w:sz w:val="28"/>
          <w:szCs w:val="28"/>
          <w:shd w:val="clear" w:color="auto" w:fill="FFFFFF"/>
          <w:lang w:eastAsia="ru-RU"/>
        </w:rPr>
        <w:t xml:space="preserve"> руководителя кружка</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I</w:t>
      </w:r>
      <w:r w:rsidRPr="00197DB9">
        <w:rPr>
          <w:rFonts w:ascii="Times New Roman" w:eastAsia="Times New Roman" w:hAnsi="Times New Roman" w:cs="Times New Roman"/>
          <w:i/>
          <w:iCs/>
          <w:color w:val="000000"/>
          <w:sz w:val="28"/>
          <w:szCs w:val="28"/>
          <w:u w:val="single"/>
          <w:shd w:val="clear" w:color="auto" w:fill="FFFFFF"/>
          <w:lang w:eastAsia="ru-RU"/>
        </w:rPr>
        <w:t>.</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Учитель математики - работающая пенсионерка спрашивает: правомерен ли отказ директора школы на предоставление ей отпуска без сохранения заработной платы во время учебной четверти, мотивируя тем, что она пенсионерка, и если нужно куда-то ехать, пусть уходит с работы.</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1</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В статье 128 ТК РФ сказано, что по семейным обстоятельствам и другим уважительным причинам работнику по письменному заявлению может быть предоставлен такой отпуск. Продолжительность его определяется соглашением между работником и работодателем. Конкретно работающим пенсионерам по возрасту такой отпуск предоставляется до 14 календарных дней в году.</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2</w:t>
      </w:r>
      <w:r w:rsidRPr="00197DB9">
        <w:rPr>
          <w:rFonts w:ascii="Times New Roman" w:eastAsia="Times New Roman" w:hAnsi="Times New Roman" w:cs="Times New Roman"/>
          <w:color w:val="000000"/>
          <w:sz w:val="28"/>
          <w:szCs w:val="28"/>
          <w:shd w:val="clear" w:color="auto" w:fill="FFFFFF"/>
          <w:lang w:eastAsia="ru-RU"/>
        </w:rPr>
        <w:t>. Можно ли учительский ежегодный отпуск заменить денежной компенсацией?</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2</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Весь нельзя, но согласно ст. 126 ТК РФ часть отпуска, превышающая 28 календарных дней, по письменному заявлению работника может быть заменена денежной компенсацией. (Не допускается подобная замена беременным женщинам и работникам до 18 лет.)</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3</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 xml:space="preserve">Молодой учитель, впервые начавший свою трудовую деятельность со второй четверти нового учебного года, спрашивает, будет ли ему предоставлен оплачиваемый отпуск по окончании этого учебного года или </w:t>
      </w:r>
      <w:r w:rsidRPr="00197DB9">
        <w:rPr>
          <w:rFonts w:ascii="Times New Roman" w:eastAsia="Times New Roman" w:hAnsi="Times New Roman" w:cs="Times New Roman"/>
          <w:color w:val="000000"/>
          <w:sz w:val="28"/>
          <w:szCs w:val="28"/>
          <w:shd w:val="clear" w:color="auto" w:fill="FFFFFF"/>
          <w:lang w:eastAsia="ru-RU"/>
        </w:rPr>
        <w:lastRenderedPageBreak/>
        <w:t>нет?</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3</w:t>
      </w:r>
      <w:r w:rsidRPr="00197DB9">
        <w:rPr>
          <w:rFonts w:ascii="Times New Roman" w:eastAsia="Times New Roman" w:hAnsi="Times New Roman" w:cs="Times New Roman"/>
          <w:b/>
          <w:bCs/>
          <w:i/>
          <w:iCs/>
          <w:color w:val="000000"/>
          <w:sz w:val="28"/>
          <w:szCs w:val="28"/>
          <w:shd w:val="clear" w:color="auto" w:fill="FFFFFF"/>
          <w:lang w:eastAsia="ru-RU"/>
        </w:rPr>
        <w:t>.</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Ст. 122 ТК РФ гласит, что право на использование отпуска за первый год работы возникает у работника по истечении 6 месяцев непрерывной работы в данной организации. По соглашению сторон оплачиваемый отпуск работнику может быть предоставлен и до истечения б месяцев.</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4</w:t>
      </w:r>
      <w:r w:rsidRPr="00197DB9">
        <w:rPr>
          <w:rFonts w:ascii="Times New Roman" w:eastAsia="Times New Roman" w:hAnsi="Times New Roman" w:cs="Times New Roman"/>
          <w:b/>
          <w:bCs/>
          <w:i/>
          <w:iCs/>
          <w:color w:val="000000"/>
          <w:sz w:val="28"/>
          <w:szCs w:val="28"/>
          <w:shd w:val="clear" w:color="auto" w:fill="FFFFFF"/>
          <w:lang w:eastAsia="ru-RU"/>
        </w:rPr>
        <w:t>.</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Учитель истории, имеющий право на оформление пенсии по выслуге лет, долгие месяцы не может получить копии ведомостей по оплате труда за определенный период работы, чтобы подтвердить свой педагогический стаж, желает выяснить, есть ли законные меры воздействия на работодателя.</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4</w:t>
      </w:r>
      <w:r w:rsidRPr="00197DB9">
        <w:rPr>
          <w:rFonts w:ascii="Times New Roman" w:eastAsia="Times New Roman" w:hAnsi="Times New Roman" w:cs="Times New Roman"/>
          <w:b/>
          <w:bCs/>
          <w:i/>
          <w:iCs/>
          <w:color w:val="000000"/>
          <w:sz w:val="28"/>
          <w:szCs w:val="28"/>
          <w:shd w:val="clear" w:color="auto" w:fill="FFFFFF"/>
          <w:lang w:eastAsia="ru-RU"/>
        </w:rPr>
        <w:t>.</w:t>
      </w:r>
      <w:r w:rsidRPr="00197DB9">
        <w:rPr>
          <w:rFonts w:ascii="Times New Roman" w:eastAsia="Times New Roman" w:hAnsi="Times New Roman" w:cs="Times New Roman"/>
          <w:color w:val="000000"/>
          <w:sz w:val="28"/>
          <w:szCs w:val="28"/>
          <w:shd w:val="clear" w:color="auto" w:fill="FFFFFF"/>
          <w:lang w:eastAsia="ru-RU"/>
        </w:rPr>
        <w:t> Ст. 89 ТК РФ поясняет: работники имеют право свободного доступа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shd w:val="clear" w:color="auto" w:fill="FFFFFF"/>
          <w:lang w:eastAsia="ru-RU"/>
        </w:rPr>
        <w:t>Работник вправе обжаловать в суде любые неправомерные действия или бездействия работодателя при обработке и защите его персональных данных.</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shd w:val="clear" w:color="auto" w:fill="FFFFFF"/>
          <w:lang w:eastAsia="ru-RU"/>
        </w:rPr>
        <w:t>В ст. 90 ТК РФ сказано: «Лица, виновные в нарушении норм, регулирующих получение, обработку и защиту персональных данных работника, несут ответственность дисциплинарную, административную, гражданско-правовую или уголовную в соответствии с федеральными законами.</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5.</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При получении зарплаты работники не получают извещения о том, какие произведены вычеты, и из чего сложилась данная сумма заработка.</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shd w:val="clear" w:color="auto" w:fill="FFFFFF"/>
          <w:lang w:eastAsia="ru-RU"/>
        </w:rPr>
        <w:t>Иногда они получают данные извещения, нерегулярно и несвоевременно. Правильно ли это?</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5.</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В ст. 136 ТК РФ записано: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сумме выплаты».</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Вопрос 6</w:t>
      </w:r>
      <w:r w:rsidRPr="00197DB9">
        <w:rPr>
          <w:rFonts w:ascii="Times New Roman" w:eastAsia="Times New Roman" w:hAnsi="Times New Roman" w:cs="Times New Roman"/>
          <w:b/>
          <w:bCs/>
          <w:i/>
          <w:iCs/>
          <w:color w:val="000000"/>
          <w:sz w:val="28"/>
          <w:szCs w:val="28"/>
          <w:shd w:val="clear" w:color="auto" w:fill="FFFFFF"/>
          <w:lang w:eastAsia="ru-RU"/>
        </w:rPr>
        <w:t>.</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Считается ли командировкой поездка учителя в другую школу, за пределы своего поселка на семинар или олимпиаду на общественном транспорте. Возмещаются ли расходы?</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b/>
          <w:bCs/>
          <w:i/>
          <w:iCs/>
          <w:color w:val="000000"/>
          <w:sz w:val="28"/>
          <w:szCs w:val="28"/>
          <w:u w:val="single"/>
          <w:shd w:val="clear" w:color="auto" w:fill="FFFFFF"/>
          <w:lang w:eastAsia="ru-RU"/>
        </w:rPr>
        <w:t>Ответ 6.</w:t>
      </w:r>
      <w:r w:rsidRPr="00197DB9">
        <w:rPr>
          <w:rFonts w:ascii="Times New Roman" w:eastAsia="Times New Roman" w:hAnsi="Times New Roman" w:cs="Times New Roman"/>
          <w:i/>
          <w:iCs/>
          <w:color w:val="000000"/>
          <w:sz w:val="28"/>
          <w:szCs w:val="28"/>
          <w:shd w:val="clear" w:color="auto" w:fill="FFFFFF"/>
          <w:lang w:eastAsia="ru-RU"/>
        </w:rPr>
        <w:t> </w:t>
      </w:r>
      <w:r w:rsidRPr="00197DB9">
        <w:rPr>
          <w:rFonts w:ascii="Times New Roman" w:eastAsia="Times New Roman" w:hAnsi="Times New Roman" w:cs="Times New Roman"/>
          <w:color w:val="000000"/>
          <w:sz w:val="28"/>
          <w:szCs w:val="28"/>
          <w:shd w:val="clear" w:color="auto" w:fill="FFFFFF"/>
          <w:lang w:eastAsia="ru-RU"/>
        </w:rPr>
        <w:t xml:space="preserve">Ст. 166 ТК РФ гласит, что служебная командировка - поездка работника по распоряжению работодателя на определенный срок для </w:t>
      </w:r>
      <w:r w:rsidRPr="00197DB9">
        <w:rPr>
          <w:rFonts w:ascii="Times New Roman" w:eastAsia="Times New Roman" w:hAnsi="Times New Roman" w:cs="Times New Roman"/>
          <w:color w:val="000000"/>
          <w:sz w:val="28"/>
          <w:szCs w:val="28"/>
          <w:shd w:val="clear" w:color="auto" w:fill="FFFFFF"/>
          <w:lang w:eastAsia="ru-RU"/>
        </w:rPr>
        <w:lastRenderedPageBreak/>
        <w:t>выполнения служебного поручения вне места постоянной работы. Ст. 168 ТК РФ определяет, что в случае направления в служебную командировку работодатель обязан возмещать работнику:</w:t>
      </w:r>
      <w:r w:rsidRPr="00197DB9">
        <w:rPr>
          <w:rFonts w:ascii="Times New Roman" w:eastAsia="Times New Roman" w:hAnsi="Times New Roman" w:cs="Times New Roman"/>
          <w:color w:val="000000"/>
          <w:sz w:val="28"/>
          <w:szCs w:val="28"/>
          <w:lang w:eastAsia="ru-RU"/>
        </w:rPr>
        <w:br/>
      </w:r>
    </w:p>
    <w:p w:rsidR="00197DB9" w:rsidRPr="00197DB9" w:rsidRDefault="00197DB9" w:rsidP="00197D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расходы по проезду;</w:t>
      </w:r>
    </w:p>
    <w:p w:rsidR="00197DB9" w:rsidRPr="00197DB9" w:rsidRDefault="00197DB9" w:rsidP="00197D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расходы по найму жилого помещения;</w:t>
      </w:r>
    </w:p>
    <w:p w:rsidR="00197DB9" w:rsidRPr="00197DB9" w:rsidRDefault="00197DB9" w:rsidP="00197D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дополнительные расходы, связанные с проживанием вне места постоянного жительства (суточные);</w:t>
      </w:r>
    </w:p>
    <w:p w:rsidR="00197DB9" w:rsidRPr="00197DB9" w:rsidRDefault="00197DB9" w:rsidP="00197D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 xml:space="preserve">иные расходы, произведенные работником с разрешения или </w:t>
      </w:r>
      <w:proofErr w:type="gramStart"/>
      <w:r w:rsidRPr="00197DB9">
        <w:rPr>
          <w:rFonts w:ascii="Times New Roman" w:eastAsia="Times New Roman" w:hAnsi="Times New Roman" w:cs="Times New Roman"/>
          <w:color w:val="000000"/>
          <w:sz w:val="28"/>
          <w:szCs w:val="28"/>
          <w:lang w:eastAsia="ru-RU"/>
        </w:rPr>
        <w:t>ведома</w:t>
      </w:r>
      <w:proofErr w:type="gramEnd"/>
      <w:r w:rsidRPr="00197DB9">
        <w:rPr>
          <w:rFonts w:ascii="Times New Roman" w:eastAsia="Times New Roman" w:hAnsi="Times New Roman" w:cs="Times New Roman"/>
          <w:color w:val="000000"/>
          <w:sz w:val="28"/>
          <w:szCs w:val="28"/>
          <w:lang w:eastAsia="ru-RU"/>
        </w:rPr>
        <w:t xml:space="preserve"> работодателя.</w:t>
      </w:r>
    </w:p>
    <w:p w:rsidR="006B311B" w:rsidRPr="00197DB9" w:rsidRDefault="00197DB9" w:rsidP="006B311B">
      <w:pPr>
        <w:spacing w:after="0" w:line="240" w:lineRule="auto"/>
        <w:rPr>
          <w:rFonts w:ascii="Times New Roman" w:eastAsia="Times New Roman" w:hAnsi="Times New Roman" w:cs="Times New Roman"/>
          <w:b/>
          <w:bCs/>
          <w:color w:val="000000"/>
          <w:sz w:val="28"/>
          <w:szCs w:val="28"/>
          <w:shd w:val="clear" w:color="auto" w:fill="FFFFFF"/>
          <w:lang w:eastAsia="ru-RU"/>
        </w:rPr>
      </w:pP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shd w:val="clear" w:color="auto" w:fill="FFFFFF"/>
          <w:lang w:eastAsia="ru-RU"/>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При этом размеры возмещения не могут быть ниже размеров, установленных Правительством РФ для организаций, финансируемых из федерального бюджета.</w:t>
      </w:r>
      <w:r w:rsidRPr="00197DB9">
        <w:rPr>
          <w:rFonts w:ascii="Times New Roman" w:eastAsia="Times New Roman" w:hAnsi="Times New Roman" w:cs="Times New Roman"/>
          <w:color w:val="000000"/>
          <w:sz w:val="28"/>
          <w:szCs w:val="28"/>
          <w:lang w:eastAsia="ru-RU"/>
        </w:rPr>
        <w:br/>
      </w:r>
      <w:r w:rsidRPr="00197DB9">
        <w:rPr>
          <w:rFonts w:ascii="Times New Roman" w:eastAsia="Times New Roman" w:hAnsi="Times New Roman" w:cs="Times New Roman"/>
          <w:color w:val="000000"/>
          <w:sz w:val="28"/>
          <w:szCs w:val="28"/>
          <w:lang w:eastAsia="ru-RU"/>
        </w:rPr>
        <w:br/>
      </w:r>
    </w:p>
    <w:p w:rsidR="00197DB9" w:rsidRPr="00197DB9" w:rsidRDefault="00197DB9" w:rsidP="00197DB9">
      <w:pPr>
        <w:spacing w:after="0" w:line="240" w:lineRule="auto"/>
        <w:rPr>
          <w:rFonts w:ascii="Times New Roman" w:eastAsia="Times New Roman" w:hAnsi="Times New Roman" w:cs="Times New Roman"/>
          <w:sz w:val="28"/>
          <w:szCs w:val="28"/>
          <w:lang w:eastAsia="ru-RU"/>
        </w:rPr>
      </w:pPr>
      <w:r w:rsidRPr="00197DB9">
        <w:rPr>
          <w:rFonts w:ascii="Times New Roman" w:eastAsia="Times New Roman" w:hAnsi="Times New Roman" w:cs="Times New Roman"/>
          <w:i/>
          <w:iCs/>
          <w:color w:val="000000"/>
          <w:sz w:val="28"/>
          <w:szCs w:val="28"/>
          <w:shd w:val="clear" w:color="auto" w:fill="FFFFFF"/>
          <w:lang w:eastAsia="ru-RU"/>
        </w:rPr>
        <w:t>Руководитель кружка:</w:t>
      </w:r>
      <w:r w:rsidRPr="00197DB9">
        <w:rPr>
          <w:rFonts w:ascii="Times New Roman" w:eastAsia="Times New Roman" w:hAnsi="Times New Roman" w:cs="Times New Roman"/>
          <w:color w:val="000000"/>
          <w:sz w:val="28"/>
          <w:szCs w:val="28"/>
          <w:shd w:val="clear" w:color="auto" w:fill="FFFFFF"/>
          <w:lang w:eastAsia="ru-RU"/>
        </w:rPr>
        <w:t> Завершая занятие профсоюзного кружка, предлагаю всем участникам кружка решить чайнворд «Профсоюзный»:</w:t>
      </w:r>
      <w:r w:rsidRPr="00197DB9">
        <w:rPr>
          <w:rFonts w:ascii="Times New Roman" w:eastAsia="Times New Roman" w:hAnsi="Times New Roman" w:cs="Times New Roman"/>
          <w:color w:val="000000"/>
          <w:sz w:val="28"/>
          <w:szCs w:val="28"/>
          <w:lang w:eastAsia="ru-RU"/>
        </w:rPr>
        <w:br/>
      </w:r>
    </w:p>
    <w:tbl>
      <w:tblPr>
        <w:tblW w:w="658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3254"/>
        <w:gridCol w:w="31"/>
        <w:gridCol w:w="3300"/>
      </w:tblGrid>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27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 Сборник законов о труде</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1.КОДЕКС</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 Условие, по которому работодатель может отозвать педагога из отпуска.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 СОГЛАСИЕ</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3. Основа успешной работы профсоюза.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3. ЕДИНСТВО</w:t>
            </w:r>
          </w:p>
        </w:tc>
      </w:tr>
      <w:tr w:rsidR="00197DB9" w:rsidRPr="00197DB9" w:rsidTr="00197DB9">
        <w:trPr>
          <w:trHeight w:val="360"/>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 xml:space="preserve">4.Фиксированный </w:t>
            </w:r>
            <w:proofErr w:type="gramStart"/>
            <w:r w:rsidRPr="00197DB9">
              <w:rPr>
                <w:rFonts w:ascii="Times New Roman" w:eastAsia="Times New Roman" w:hAnsi="Times New Roman" w:cs="Times New Roman"/>
                <w:color w:val="000000"/>
                <w:sz w:val="28"/>
                <w:szCs w:val="28"/>
                <w:lang w:eastAsia="ru-RU"/>
              </w:rPr>
              <w:t>размер оплаты труда</w:t>
            </w:r>
            <w:proofErr w:type="gramEnd"/>
            <w:r w:rsidRPr="00197DB9">
              <w:rPr>
                <w:rFonts w:ascii="Times New Roman" w:eastAsia="Times New Roman" w:hAnsi="Times New Roman" w:cs="Times New Roman"/>
                <w:color w:val="000000"/>
                <w:sz w:val="28"/>
                <w:szCs w:val="28"/>
                <w:lang w:eastAsia="ru-RU"/>
              </w:rPr>
              <w:t xml:space="preserve"> работника.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4. ОКЛАД</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 xml:space="preserve">5. Один из серьезных </w:t>
            </w:r>
            <w:r w:rsidRPr="00197DB9">
              <w:rPr>
                <w:rFonts w:ascii="Times New Roman" w:eastAsia="Times New Roman" w:hAnsi="Times New Roman" w:cs="Times New Roman"/>
                <w:color w:val="000000"/>
                <w:sz w:val="28"/>
                <w:szCs w:val="28"/>
                <w:lang w:eastAsia="ru-RU"/>
              </w:rPr>
              <w:lastRenderedPageBreak/>
              <w:t>поводов обращения в суд для разрешения трудового спора.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lastRenderedPageBreak/>
              <w:br/>
              <w:t>5. ДИСКРИМИНАЦИЯ</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lastRenderedPageBreak/>
              <w:br/>
              <w:t>6. Один из самых ярких профсоюзных лидеров работников народного образования и науки в конце XX века.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6. ЯКОВЛЕВ</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7. Одно из дисциплинарных взысканий.</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7. ВЫГОВОР</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8. Процесс, осуществляемый с трудовыми отношениями путем заключения, изменения и дополнения коллективных договоров и соглашений.</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8. РЕГУЛИРОВАНИЕ</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9. Денежная единица, которой не стоит измерять учительскую зарплату.</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9. ЕВРО</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10. Редкая учительская награда.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10. ОРДЕН</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11. Контроль государства за соблюдением трудового законодательства.</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11.НАДЗОР</w:t>
            </w:r>
          </w:p>
        </w:tc>
      </w:tr>
      <w:tr w:rsidR="00197DB9" w:rsidRPr="00197DB9" w:rsidTr="00197DB9">
        <w:trPr>
          <w:tblCellSpacing w:w="0" w:type="dxa"/>
        </w:trPr>
        <w:tc>
          <w:tcPr>
            <w:tcW w:w="3180"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12. Процедура, которую необходимо пройти в службе по урегулированию трудовых споров.</w:t>
            </w:r>
          </w:p>
        </w:tc>
        <w:tc>
          <w:tcPr>
            <w:tcW w:w="3195"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12. РЕГИСТРАЦИЯ</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 xml:space="preserve">13. Страна, технические изобретения которой </w:t>
            </w:r>
            <w:r w:rsidRPr="00197DB9">
              <w:rPr>
                <w:rFonts w:ascii="Times New Roman" w:eastAsia="Times New Roman" w:hAnsi="Times New Roman" w:cs="Times New Roman"/>
                <w:color w:val="000000"/>
                <w:sz w:val="28"/>
                <w:szCs w:val="28"/>
                <w:lang w:eastAsia="ru-RU"/>
              </w:rPr>
              <w:lastRenderedPageBreak/>
              <w:t>способствуют профсоюзной работе.</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lastRenderedPageBreak/>
              <w:br/>
              <w:t>13. ЯПОНИЯ</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lastRenderedPageBreak/>
              <w:br/>
              <w:t xml:space="preserve">14. Жестокий начальник, </w:t>
            </w:r>
            <w:proofErr w:type="gramStart"/>
            <w:r w:rsidRPr="00197DB9">
              <w:rPr>
                <w:rFonts w:ascii="Times New Roman" w:eastAsia="Times New Roman" w:hAnsi="Times New Roman" w:cs="Times New Roman"/>
                <w:color w:val="000000"/>
                <w:sz w:val="28"/>
                <w:szCs w:val="28"/>
                <w:lang w:eastAsia="ru-RU"/>
              </w:rPr>
              <w:t>администратор-самодур</w:t>
            </w:r>
            <w:proofErr w:type="gramEnd"/>
            <w:r w:rsidRPr="00197DB9">
              <w:rPr>
                <w:rFonts w:ascii="Times New Roman" w:eastAsia="Times New Roman" w:hAnsi="Times New Roman" w:cs="Times New Roman"/>
                <w:color w:val="000000"/>
                <w:sz w:val="28"/>
                <w:szCs w:val="28"/>
                <w:lang w:eastAsia="ru-RU"/>
              </w:rPr>
              <w:t>.</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14. САТРАП</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15. Участник разрешения трудовых споров на одном из этапов.</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15. ПОСРЕДНИК</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 6. Его осуществляют профсоюзы по вопросу соблюдения трудового законодательства.</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16. КОНТРОЛЬ</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17. Намеренный срыв работы.</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17. САБОТАЖ</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18. Устройство на окнах с целью соблюдения светового режима в школе.</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18. ЖАЛЮЗИ</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19. Мирное, безмятежное существование при слабой работе профсоюза.</w:t>
            </w:r>
          </w:p>
        </w:tc>
        <w:tc>
          <w:tcPr>
            <w:tcW w:w="3225" w:type="dxa"/>
            <w:gridSpan w:val="2"/>
            <w:shd w:val="clear" w:color="auto" w:fill="FFFFFF"/>
            <w:hideMark/>
          </w:tcPr>
          <w:p w:rsidR="00197DB9" w:rsidRPr="00197DB9" w:rsidRDefault="00197DB9" w:rsidP="00197DB9">
            <w:pPr>
              <w:spacing w:after="27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19. ИДИЛЛИЯ</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20. Папка с документами по профсоюзным делам.</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20. ДОСЬЕ</w:t>
            </w:r>
          </w:p>
        </w:tc>
      </w:tr>
      <w:tr w:rsidR="00197DB9" w:rsidRPr="00197DB9" w:rsidTr="00197DB9">
        <w:trPr>
          <w:tblCellSpacing w:w="0" w:type="dxa"/>
        </w:trPr>
        <w:tc>
          <w:tcPr>
            <w:tcW w:w="3150" w:type="dxa"/>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21. Наркотическое вещество, разрушающее здоровье не только членов профсоюза.</w:t>
            </w:r>
          </w:p>
        </w:tc>
        <w:tc>
          <w:tcPr>
            <w:tcW w:w="3225" w:type="dxa"/>
            <w:gridSpan w:val="2"/>
            <w:shd w:val="clear" w:color="auto" w:fill="FFFFFF"/>
            <w:hideMark/>
          </w:tcPr>
          <w:p w:rsidR="00197DB9" w:rsidRPr="00197DB9" w:rsidRDefault="00197DB9" w:rsidP="00197DB9">
            <w:pPr>
              <w:spacing w:after="0" w:line="240" w:lineRule="auto"/>
              <w:rPr>
                <w:rFonts w:ascii="Times New Roman" w:eastAsia="Times New Roman" w:hAnsi="Times New Roman" w:cs="Times New Roman"/>
                <w:color w:val="000000"/>
                <w:sz w:val="28"/>
                <w:szCs w:val="28"/>
                <w:lang w:eastAsia="ru-RU"/>
              </w:rPr>
            </w:pPr>
            <w:r w:rsidRPr="00197DB9">
              <w:rPr>
                <w:rFonts w:ascii="Times New Roman" w:eastAsia="Times New Roman" w:hAnsi="Times New Roman" w:cs="Times New Roman"/>
                <w:color w:val="000000"/>
                <w:sz w:val="28"/>
                <w:szCs w:val="28"/>
                <w:lang w:eastAsia="ru-RU"/>
              </w:rPr>
              <w:br/>
              <w:t>21. НИКОТ</w:t>
            </w:r>
            <w:r>
              <w:rPr>
                <w:rFonts w:ascii="Times New Roman" w:eastAsia="Times New Roman" w:hAnsi="Times New Roman" w:cs="Times New Roman"/>
                <w:color w:val="000000"/>
                <w:sz w:val="28"/>
                <w:szCs w:val="28"/>
                <w:lang w:eastAsia="ru-RU"/>
              </w:rPr>
              <w:t>ИН</w:t>
            </w:r>
          </w:p>
        </w:tc>
      </w:tr>
    </w:tbl>
    <w:p w:rsidR="008A16BF" w:rsidRPr="00197DB9" w:rsidRDefault="008A16BF">
      <w:pPr>
        <w:rPr>
          <w:rFonts w:ascii="Times New Roman" w:hAnsi="Times New Roman" w:cs="Times New Roman"/>
          <w:sz w:val="28"/>
          <w:szCs w:val="28"/>
        </w:rPr>
      </w:pPr>
    </w:p>
    <w:sectPr w:rsidR="008A16BF" w:rsidRPr="00197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6C4"/>
    <w:multiLevelType w:val="multilevel"/>
    <w:tmpl w:val="A5B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61D80"/>
    <w:multiLevelType w:val="multilevel"/>
    <w:tmpl w:val="FCD0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F72C3"/>
    <w:multiLevelType w:val="multilevel"/>
    <w:tmpl w:val="E12C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064DC"/>
    <w:multiLevelType w:val="multilevel"/>
    <w:tmpl w:val="323E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551660"/>
    <w:multiLevelType w:val="multilevel"/>
    <w:tmpl w:val="4828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17215"/>
    <w:multiLevelType w:val="multilevel"/>
    <w:tmpl w:val="B3A0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6B2746"/>
    <w:multiLevelType w:val="multilevel"/>
    <w:tmpl w:val="CD3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B9"/>
    <w:rsid w:val="00197DB9"/>
    <w:rsid w:val="00682613"/>
    <w:rsid w:val="006B311B"/>
    <w:rsid w:val="008A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2019-06-12T10:17:00Z</dcterms:created>
  <dcterms:modified xsi:type="dcterms:W3CDTF">2019-06-12T10:52:00Z</dcterms:modified>
</cp:coreProperties>
</file>